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55D2F4D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</w:t>
      </w:r>
      <w:r w:rsidR="00F52F41">
        <w:rPr>
          <w:rFonts w:cs="Arial"/>
          <w:b/>
          <w:sz w:val="28"/>
          <w:szCs w:val="28"/>
        </w:rPr>
        <w:t>9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60DCC" w:rsidRPr="00260DCC">
        <w:rPr>
          <w:rFonts w:cs="Arial"/>
          <w:b/>
          <w:sz w:val="28"/>
          <w:szCs w:val="28"/>
        </w:rPr>
        <w:t>RP-251945</w:t>
      </w:r>
    </w:p>
    <w:p w14:paraId="26A9CD52" w14:textId="628D714D" w:rsidR="00507906" w:rsidRPr="00A079D3" w:rsidRDefault="00F52F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 xml:space="preserve">Sep </w:t>
      </w:r>
      <w:r w:rsidR="000E7BB7">
        <w:rPr>
          <w:rFonts w:cs="Arial"/>
          <w:b/>
          <w:sz w:val="28"/>
          <w:szCs w:val="28"/>
        </w:rPr>
        <w:t>15</w:t>
      </w:r>
      <w:r w:rsidR="00507906">
        <w:rPr>
          <w:rFonts w:cs="Arial"/>
          <w:b/>
          <w:sz w:val="28"/>
          <w:szCs w:val="28"/>
        </w:rPr>
        <w:t>-1</w:t>
      </w:r>
      <w:r w:rsidR="000E7BB7">
        <w:rPr>
          <w:rFonts w:cs="Arial"/>
          <w:b/>
          <w:sz w:val="28"/>
          <w:szCs w:val="28"/>
        </w:rPr>
        <w:t>8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6A335D06" w:rsidR="006F0FFF" w:rsidRDefault="006F0FFF" w:rsidP="006F0FFF">
      <w:pPr>
        <w:pStyle w:val="3GPPheader"/>
      </w:pPr>
      <w:r w:rsidRPr="3846986A">
        <w:rPr>
          <w:lang w:val="en-US"/>
        </w:rPr>
        <w:t>Agenda Item:</w:t>
      </w:r>
      <w:r>
        <w:tab/>
      </w:r>
      <w:r w:rsidR="007527A9">
        <w:rPr>
          <w:lang w:val="en-US"/>
        </w:rPr>
        <w:t>8.2.1.2</w:t>
      </w:r>
    </w:p>
    <w:p w14:paraId="6A0057C7" w14:textId="7E728598" w:rsidR="006F0FFF" w:rsidRDefault="006F0FFF" w:rsidP="006F0FFF">
      <w:pPr>
        <w:pStyle w:val="3GPPheader"/>
      </w:pPr>
      <w:r w:rsidRPr="3846986A">
        <w:rPr>
          <w:lang w:val="en-US"/>
        </w:rPr>
        <w:t>Source:</w:t>
      </w:r>
      <w:r>
        <w:tab/>
      </w:r>
      <w:r w:rsidR="00C72CD8" w:rsidRPr="3846986A">
        <w:rPr>
          <w:lang w:val="en-US"/>
        </w:rPr>
        <w:t>Ericsson</w:t>
      </w:r>
    </w:p>
    <w:p w14:paraId="2A34585E" w14:textId="4F84AD82" w:rsidR="006F0FFF" w:rsidRPr="007E5394" w:rsidRDefault="006F0FFF" w:rsidP="007527A9">
      <w:pPr>
        <w:pStyle w:val="3GPPheader"/>
        <w:ind w:left="1700" w:hanging="1700"/>
        <w:rPr>
          <w:lang w:val="en-US"/>
        </w:rPr>
      </w:pPr>
      <w:r w:rsidRPr="3846986A">
        <w:rPr>
          <w:lang w:val="en-US"/>
        </w:rPr>
        <w:t>Title:</w:t>
      </w:r>
      <w:r>
        <w:tab/>
      </w:r>
      <w:r w:rsidR="007527A9">
        <w:tab/>
      </w:r>
      <w:r w:rsidR="007E5394" w:rsidRPr="3846986A">
        <w:rPr>
          <w:lang w:val="en-US"/>
        </w:rPr>
        <w:t xml:space="preserve">Technical Performance Requirements (TPR) for the IMT-2030 </w:t>
      </w:r>
      <w:r w:rsidR="00A96BE8" w:rsidRPr="3846986A">
        <w:rPr>
          <w:lang w:val="en-US"/>
        </w:rPr>
        <w:t>Satellite Component</w:t>
      </w:r>
    </w:p>
    <w:p w14:paraId="352ED748" w14:textId="474045CC" w:rsidR="00EB0B04" w:rsidRDefault="006F0FFF" w:rsidP="006F0FFF">
      <w:pPr>
        <w:pStyle w:val="3GPPheader"/>
      </w:pPr>
      <w:r w:rsidRPr="3846986A">
        <w:rPr>
          <w:lang w:val="en-US"/>
        </w:rPr>
        <w:t>Document for:</w:t>
      </w:r>
      <w:r>
        <w:tab/>
      </w:r>
      <w:r w:rsidR="00507906" w:rsidRPr="3846986A">
        <w:rPr>
          <w:lang w:val="en-US"/>
        </w:rPr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77D5F64" w14:textId="2467D5AE" w:rsidR="008C53E0" w:rsidRDefault="00BD67BA" w:rsidP="3846986A">
      <w:pPr>
        <w:jc w:val="both"/>
        <w:rPr>
          <w:lang w:val="en-US"/>
        </w:rPr>
      </w:pPr>
      <w:r w:rsidRPr="3846986A">
        <w:rPr>
          <w:lang w:val="en-US"/>
        </w:rPr>
        <w:t>At TSG RAN#106, a study was initiated for 6G Scenarios and requirements (</w:t>
      </w:r>
      <w:hyperlink r:id="rId8">
        <w:r w:rsidRPr="3846986A">
          <w:rPr>
            <w:rStyle w:val="Hyperlink"/>
            <w:lang w:val="en-US"/>
          </w:rPr>
          <w:t>RP-243327</w:t>
        </w:r>
      </w:hyperlink>
      <w:r w:rsidRPr="3846986A">
        <w:rPr>
          <w:lang w:val="en-US"/>
        </w:rPr>
        <w:t xml:space="preserve">), </w:t>
      </w:r>
      <w:r w:rsidR="001B0A0A" w:rsidRPr="3846986A">
        <w:rPr>
          <w:lang w:val="en-US"/>
        </w:rPr>
        <w:t xml:space="preserve">with </w:t>
      </w:r>
      <w:r w:rsidRPr="3846986A">
        <w:rPr>
          <w:lang w:val="en-US"/>
        </w:rPr>
        <w:t xml:space="preserve">the objective is to investigate a candidate set of items for minimum TPRs </w:t>
      </w:r>
      <w:r w:rsidR="00021AAE" w:rsidRPr="3846986A">
        <w:rPr>
          <w:lang w:val="en-US"/>
        </w:rPr>
        <w:t xml:space="preserve">for the </w:t>
      </w:r>
      <w:r w:rsidR="00B878E6" w:rsidRPr="3846986A">
        <w:rPr>
          <w:lang w:val="en-US"/>
        </w:rPr>
        <w:t xml:space="preserve">terrestrial component of IMT-2030, </w:t>
      </w:r>
      <w:r w:rsidRPr="3846986A">
        <w:rPr>
          <w:lang w:val="en-US"/>
        </w:rPr>
        <w:t xml:space="preserve">based on the </w:t>
      </w:r>
      <w:r w:rsidR="00701D77" w:rsidRPr="3846986A">
        <w:rPr>
          <w:lang w:val="en-US"/>
        </w:rPr>
        <w:t xml:space="preserve">ITU-R </w:t>
      </w:r>
      <w:r w:rsidRPr="3846986A">
        <w:rPr>
          <w:lang w:val="en-US"/>
        </w:rPr>
        <w:t xml:space="preserve">Recommendation </w:t>
      </w:r>
      <w:hyperlink r:id="rId9">
        <w:r w:rsidRPr="3846986A">
          <w:rPr>
            <w:rStyle w:val="Hyperlink"/>
            <w:lang w:val="en-US" w:eastAsia="zh-CN"/>
          </w:rPr>
          <w:t>M.2160</w:t>
        </w:r>
      </w:hyperlink>
      <w:r w:rsidR="004327E8" w:rsidRPr="3846986A">
        <w:rPr>
          <w:lang w:val="en-US"/>
        </w:rPr>
        <w:t xml:space="preserve"> [1]</w:t>
      </w:r>
      <w:r w:rsidR="00B878E6" w:rsidRPr="3846986A">
        <w:rPr>
          <w:lang w:val="en-US"/>
        </w:rPr>
        <w:t>,</w:t>
      </w:r>
      <w:r w:rsidRPr="3846986A">
        <w:rPr>
          <w:lang w:val="en-US"/>
        </w:rPr>
        <w:t xml:space="preserve"> and to share the outcome with ITU-R WP5D as suitable. </w:t>
      </w:r>
      <w:r w:rsidR="00B878E6" w:rsidRPr="3846986A">
        <w:rPr>
          <w:lang w:val="en-US"/>
        </w:rPr>
        <w:t>In parallel</w:t>
      </w:r>
      <w:r w:rsidR="0068601B" w:rsidRPr="3846986A">
        <w:rPr>
          <w:lang w:val="en-US"/>
        </w:rPr>
        <w:t xml:space="preserve">, ITU-R WP4B has started its work on the </w:t>
      </w:r>
      <w:r w:rsidR="00A96BE8" w:rsidRPr="3846986A">
        <w:rPr>
          <w:lang w:val="en-US"/>
        </w:rPr>
        <w:t xml:space="preserve">satellite component of IMT-2030. </w:t>
      </w:r>
      <w:r w:rsidR="004D30DE" w:rsidRPr="3846986A">
        <w:rPr>
          <w:lang w:val="en-US"/>
        </w:rPr>
        <w:t xml:space="preserve">In </w:t>
      </w:r>
      <w:r w:rsidR="005B19A0" w:rsidRPr="3846986A">
        <w:rPr>
          <w:lang w:val="en-US"/>
        </w:rPr>
        <w:t xml:space="preserve">its </w:t>
      </w:r>
      <w:r w:rsidR="00934C7C" w:rsidRPr="3846986A">
        <w:rPr>
          <w:lang w:val="en-US"/>
        </w:rPr>
        <w:t xml:space="preserve">#56 meeting in May 2025, </w:t>
      </w:r>
      <w:r w:rsidR="00A96BE8" w:rsidRPr="3846986A">
        <w:rPr>
          <w:lang w:val="en-US"/>
        </w:rPr>
        <w:t>WP4B agreed on the timeline</w:t>
      </w:r>
      <w:r w:rsidR="00934C7C" w:rsidRPr="3846986A">
        <w:rPr>
          <w:lang w:val="en-US"/>
        </w:rPr>
        <w:t xml:space="preserve"> for the development of the </w:t>
      </w:r>
      <w:r w:rsidR="002A4687" w:rsidRPr="3846986A">
        <w:rPr>
          <w:lang w:val="en-US"/>
        </w:rPr>
        <w:t xml:space="preserve">IMT-2030 </w:t>
      </w:r>
      <w:r w:rsidR="00934C7C" w:rsidRPr="3846986A">
        <w:rPr>
          <w:lang w:val="en-US"/>
        </w:rPr>
        <w:t>satellite component</w:t>
      </w:r>
      <w:r w:rsidR="00966A8D" w:rsidRPr="3846986A">
        <w:rPr>
          <w:lang w:val="en-US"/>
        </w:rPr>
        <w:t xml:space="preserve"> [2]</w:t>
      </w:r>
      <w:r w:rsidR="00A96BE8" w:rsidRPr="3846986A">
        <w:rPr>
          <w:lang w:val="en-US"/>
        </w:rPr>
        <w:t xml:space="preserve">. </w:t>
      </w:r>
      <w:r w:rsidR="002A4687" w:rsidRPr="3846986A">
        <w:rPr>
          <w:lang w:val="en-US"/>
        </w:rPr>
        <w:t xml:space="preserve">For the next meeting #57 in October, input on </w:t>
      </w:r>
      <w:r w:rsidR="00613668" w:rsidRPr="3846986A">
        <w:rPr>
          <w:lang w:val="en-US"/>
        </w:rPr>
        <w:t xml:space="preserve">the </w:t>
      </w:r>
      <w:r w:rsidR="002A4687" w:rsidRPr="3846986A">
        <w:rPr>
          <w:lang w:val="en-US"/>
        </w:rPr>
        <w:t xml:space="preserve">potential </w:t>
      </w:r>
      <w:r w:rsidR="00613668" w:rsidRPr="3846986A">
        <w:rPr>
          <w:lang w:val="en-US"/>
        </w:rPr>
        <w:t xml:space="preserve">set of TPRs is expected. </w:t>
      </w:r>
    </w:p>
    <w:p w14:paraId="0857437D" w14:textId="2D289311" w:rsidR="00312160" w:rsidRPr="00A96BE8" w:rsidRDefault="00723DB9" w:rsidP="007B5665">
      <w:pPr>
        <w:jc w:val="both"/>
        <w:rPr>
          <w:iCs/>
          <w:lang w:val="en-US"/>
        </w:rPr>
      </w:pPr>
      <w:r>
        <w:rPr>
          <w:iCs/>
          <w:lang w:val="en-US"/>
        </w:rPr>
        <w:t>In t</w:t>
      </w:r>
      <w:r w:rsidR="008C53E0">
        <w:rPr>
          <w:iCs/>
          <w:lang w:val="en-US"/>
        </w:rPr>
        <w:t xml:space="preserve">his contribution, we provide our view on the </w:t>
      </w:r>
      <w:r>
        <w:rPr>
          <w:iCs/>
          <w:lang w:val="en-US"/>
        </w:rPr>
        <w:t xml:space="preserve">potential set of </w:t>
      </w:r>
      <w:r w:rsidR="00F613DF">
        <w:rPr>
          <w:iCs/>
          <w:lang w:val="en-US"/>
        </w:rPr>
        <w:t>requirements</w:t>
      </w:r>
      <w:r>
        <w:rPr>
          <w:iCs/>
          <w:lang w:val="en-US"/>
        </w:rPr>
        <w:t xml:space="preserve"> for satellite IMT-2030</w:t>
      </w:r>
      <w:r w:rsidR="003A69F8">
        <w:rPr>
          <w:iCs/>
          <w:lang w:val="en-US"/>
        </w:rPr>
        <w:t>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156A7D3B" w14:textId="6227778B" w:rsidR="00EB1A45" w:rsidRDefault="00F613DF" w:rsidP="007B5665">
      <w:pPr>
        <w:jc w:val="both"/>
        <w:rPr>
          <w:iCs/>
          <w:lang w:val="en-US"/>
        </w:rPr>
      </w:pPr>
      <w:r>
        <w:rPr>
          <w:iCs/>
          <w:lang w:val="en-US"/>
        </w:rPr>
        <w:t>3GPP submitted NR NTN and IoT NTN as the IMT-2020 satellite component in 2023</w:t>
      </w:r>
      <w:r w:rsidR="00D81349">
        <w:rPr>
          <w:iCs/>
          <w:lang w:val="en-US"/>
        </w:rPr>
        <w:t xml:space="preserve"> [3]. ITU-R accepted the 3GPP submission </w:t>
      </w:r>
      <w:r w:rsidR="000A7963">
        <w:rPr>
          <w:iCs/>
          <w:lang w:val="en-US"/>
        </w:rPr>
        <w:t xml:space="preserve">as the IMT-2020 satellite component in 2025 [4]. </w:t>
      </w:r>
      <w:r>
        <w:rPr>
          <w:iCs/>
          <w:lang w:val="en-US"/>
        </w:rPr>
        <w:t xml:space="preserve">The requirements for the IMT-2020 satellite component closely followed the terrestrial component with regards to </w:t>
      </w:r>
      <w:r w:rsidR="007400CF">
        <w:rPr>
          <w:iCs/>
          <w:lang w:val="en-US"/>
        </w:rPr>
        <w:t xml:space="preserve">their </w:t>
      </w:r>
      <w:r>
        <w:rPr>
          <w:iCs/>
          <w:lang w:val="en-US"/>
        </w:rPr>
        <w:t>structure</w:t>
      </w:r>
      <w:r w:rsidR="007400CF">
        <w:rPr>
          <w:iCs/>
          <w:lang w:val="en-US"/>
        </w:rPr>
        <w:t xml:space="preserve"> and </w:t>
      </w:r>
      <w:r w:rsidR="000A7963">
        <w:rPr>
          <w:iCs/>
          <w:lang w:val="en-US"/>
        </w:rPr>
        <w:t>evaluation procedure. T</w:t>
      </w:r>
      <w:r>
        <w:rPr>
          <w:iCs/>
          <w:lang w:val="en-US"/>
        </w:rPr>
        <w:t xml:space="preserve">he values </w:t>
      </w:r>
      <w:r w:rsidR="000A7963">
        <w:rPr>
          <w:iCs/>
          <w:lang w:val="en-US"/>
        </w:rPr>
        <w:t xml:space="preserve">of the TPRs </w:t>
      </w:r>
      <w:r>
        <w:rPr>
          <w:iCs/>
          <w:lang w:val="en-US"/>
        </w:rPr>
        <w:t>were</w:t>
      </w:r>
      <w:r w:rsidR="007B5665">
        <w:rPr>
          <w:iCs/>
          <w:lang w:val="en-US"/>
        </w:rPr>
        <w:t xml:space="preserve">, </w:t>
      </w:r>
      <w:r w:rsidR="000A7963">
        <w:rPr>
          <w:iCs/>
          <w:lang w:val="en-US"/>
        </w:rPr>
        <w:t>however</w:t>
      </w:r>
      <w:r w:rsidR="007B5665">
        <w:rPr>
          <w:iCs/>
          <w:lang w:val="en-US"/>
        </w:rPr>
        <w:t>,</w:t>
      </w:r>
      <w:r w:rsidR="000A7963">
        <w:rPr>
          <w:iCs/>
          <w:lang w:val="en-US"/>
        </w:rPr>
        <w:t xml:space="preserve"> </w:t>
      </w:r>
      <w:r>
        <w:rPr>
          <w:iCs/>
          <w:lang w:val="en-US"/>
        </w:rPr>
        <w:t xml:space="preserve">adapted to satellite conditions. This </w:t>
      </w:r>
      <w:r w:rsidR="00781CA5">
        <w:rPr>
          <w:iCs/>
          <w:lang w:val="en-US"/>
        </w:rPr>
        <w:t xml:space="preserve">procedure ensures </w:t>
      </w:r>
      <w:r w:rsidR="00C60783">
        <w:rPr>
          <w:iCs/>
          <w:lang w:val="en-US"/>
        </w:rPr>
        <w:t>consistency</w:t>
      </w:r>
      <w:r w:rsidR="00781CA5">
        <w:rPr>
          <w:iCs/>
          <w:lang w:val="en-US"/>
        </w:rPr>
        <w:t xml:space="preserve"> </w:t>
      </w:r>
      <w:r w:rsidR="00EB1A45">
        <w:rPr>
          <w:iCs/>
          <w:lang w:val="en-US"/>
        </w:rPr>
        <w:t xml:space="preserve">and </w:t>
      </w:r>
      <w:r>
        <w:rPr>
          <w:iCs/>
          <w:lang w:val="en-US"/>
        </w:rPr>
        <w:t xml:space="preserve">coherence </w:t>
      </w:r>
      <w:r w:rsidR="00EB1A45">
        <w:rPr>
          <w:iCs/>
          <w:lang w:val="en-US"/>
        </w:rPr>
        <w:t xml:space="preserve">between the terrestrial and satellite components and </w:t>
      </w:r>
      <w:r w:rsidR="002317A5">
        <w:rPr>
          <w:iCs/>
          <w:lang w:val="en-US"/>
        </w:rPr>
        <w:t xml:space="preserve">facilitates comparison of their respective </w:t>
      </w:r>
      <w:r w:rsidR="00EB1A45">
        <w:rPr>
          <w:iCs/>
          <w:lang w:val="en-US"/>
        </w:rPr>
        <w:t>performance</w:t>
      </w:r>
      <w:r w:rsidR="002317A5">
        <w:rPr>
          <w:iCs/>
          <w:lang w:val="en-US"/>
        </w:rPr>
        <w:t xml:space="preserve">. </w:t>
      </w:r>
      <w:r w:rsidR="00C60783">
        <w:rPr>
          <w:iCs/>
          <w:lang w:val="en-US"/>
        </w:rPr>
        <w:t xml:space="preserve">In our view, the same example should also be followed for the IMT-2030 satellite component, and its TPRs should be based on those for the terrestrial component. </w:t>
      </w:r>
      <w:r w:rsidR="002A5BA5">
        <w:rPr>
          <w:iCs/>
          <w:lang w:val="en-US"/>
        </w:rPr>
        <w:t>As for IMT-2020, the TPR values will need to be adapted to the satellite conditions</w:t>
      </w:r>
      <w:r w:rsidR="00783E47">
        <w:rPr>
          <w:iCs/>
          <w:lang w:val="en-US"/>
        </w:rPr>
        <w:t>, where long delays, large path loss, and limited bandwidth restrict the achievable performance.</w:t>
      </w:r>
    </w:p>
    <w:p w14:paraId="34E30371" w14:textId="762E62EE" w:rsidR="00FF3E3C" w:rsidRDefault="005F2B32" w:rsidP="00A31C9D">
      <w:pPr>
        <w:pStyle w:val="Proposal"/>
      </w:pPr>
      <w:r>
        <w:t xml:space="preserve">The definition of the TPRs </w:t>
      </w:r>
      <w:r w:rsidR="00A31C9D">
        <w:t xml:space="preserve">for satellite IMT-2030 should be based on those for the terrestrial component of IMT-2030, with the values adapted to satellite conditions, </w:t>
      </w:r>
      <w:r>
        <w:t>follow</w:t>
      </w:r>
      <w:r w:rsidR="00A31C9D">
        <w:t>ing</w:t>
      </w:r>
      <w:r>
        <w:t xml:space="preserve"> the example from IMT-2020</w:t>
      </w:r>
      <w:r w:rsidR="00FF3E3C">
        <w:t>.</w:t>
      </w:r>
    </w:p>
    <w:p w14:paraId="33F1EDD3" w14:textId="70FC3A9A" w:rsidR="008E59B7" w:rsidRDefault="00613D69" w:rsidP="3846986A">
      <w:pPr>
        <w:jc w:val="both"/>
        <w:rPr>
          <w:lang w:val="en-US"/>
        </w:rPr>
      </w:pPr>
      <w:r w:rsidRPr="3846986A">
        <w:rPr>
          <w:lang w:val="en-US"/>
        </w:rPr>
        <w:t xml:space="preserve">The requirements for the IMT-2020 satellite component can be found in </w:t>
      </w:r>
      <w:r w:rsidR="00701D77" w:rsidRPr="3846986A">
        <w:rPr>
          <w:lang w:val="en-US"/>
        </w:rPr>
        <w:t xml:space="preserve">ITU-R Report </w:t>
      </w:r>
      <w:hyperlink r:id="rId10">
        <w:r w:rsidR="00701D77" w:rsidRPr="3846986A">
          <w:rPr>
            <w:rStyle w:val="Hyperlink"/>
            <w:lang w:val="en-US"/>
          </w:rPr>
          <w:t>M.2514</w:t>
        </w:r>
      </w:hyperlink>
      <w:r w:rsidR="00701D77" w:rsidRPr="3846986A">
        <w:rPr>
          <w:lang w:val="en-US"/>
        </w:rPr>
        <w:t xml:space="preserve"> </w:t>
      </w:r>
      <w:r w:rsidR="00B34A67" w:rsidRPr="3846986A">
        <w:rPr>
          <w:lang w:val="en-US"/>
        </w:rPr>
        <w:t xml:space="preserve">[5]. </w:t>
      </w:r>
      <w:r w:rsidR="00F613DF" w:rsidRPr="3846986A">
        <w:rPr>
          <w:lang w:val="en-US"/>
        </w:rPr>
        <w:t xml:space="preserve">The requirements for the terrestrial component of IMT-2030 are discussed in </w:t>
      </w:r>
      <w:r w:rsidR="00350D4E" w:rsidRPr="00350D4E">
        <w:rPr>
          <w:lang w:val="en-US"/>
        </w:rPr>
        <w:t>RP-251952</w:t>
      </w:r>
      <w:r w:rsidR="00934526" w:rsidRPr="3846986A">
        <w:rPr>
          <w:lang w:val="en-US"/>
        </w:rPr>
        <w:t xml:space="preserve">. </w:t>
      </w:r>
    </w:p>
    <w:p w14:paraId="06DB13E8" w14:textId="77777777" w:rsidR="00D74AB6" w:rsidRDefault="00D74AB6" w:rsidP="009A1A3C">
      <w:pPr>
        <w:jc w:val="both"/>
        <w:rPr>
          <w:iCs/>
          <w:lang w:val="en-US"/>
        </w:rPr>
      </w:pPr>
    </w:p>
    <w:p w14:paraId="48462B83" w14:textId="380578FC" w:rsidR="008E59B7" w:rsidRDefault="00317956" w:rsidP="00D74AB6">
      <w:pPr>
        <w:pStyle w:val="Heading3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0B4F22">
        <w:rPr>
          <w:lang w:val="en-US"/>
        </w:rPr>
        <w:t>Requirements</w:t>
      </w:r>
      <w:r w:rsidR="00E50E92">
        <w:rPr>
          <w:lang w:val="en-US"/>
        </w:rPr>
        <w:t xml:space="preserve"> </w:t>
      </w:r>
      <w:r>
        <w:rPr>
          <w:lang w:val="en-US"/>
        </w:rPr>
        <w:t>inherited from IMT-2020</w:t>
      </w:r>
      <w:r w:rsidR="00F322C2">
        <w:rPr>
          <w:lang w:val="en-US"/>
        </w:rPr>
        <w:t xml:space="preserve"> </w:t>
      </w:r>
    </w:p>
    <w:p w14:paraId="4E112569" w14:textId="3BDB38A5" w:rsidR="00F613DF" w:rsidRDefault="009A1A3C" w:rsidP="009A1A3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The following TPRs </w:t>
      </w:r>
      <w:r w:rsidR="00413E17">
        <w:rPr>
          <w:iCs/>
          <w:lang w:val="en-US"/>
        </w:rPr>
        <w:t xml:space="preserve">were part </w:t>
      </w:r>
      <w:r w:rsidR="00F56E6D">
        <w:rPr>
          <w:iCs/>
          <w:lang w:val="en-US"/>
        </w:rPr>
        <w:t xml:space="preserve">of the set of </w:t>
      </w:r>
      <w:r w:rsidR="00413E17">
        <w:rPr>
          <w:iCs/>
          <w:lang w:val="en-US"/>
        </w:rPr>
        <w:t xml:space="preserve">IMT-2020 </w:t>
      </w:r>
      <w:r w:rsidR="00F56E6D">
        <w:rPr>
          <w:iCs/>
          <w:lang w:val="en-US"/>
        </w:rPr>
        <w:t xml:space="preserve">requirements (both terrestrial and satellite) </w:t>
      </w:r>
      <w:r w:rsidR="0009512C">
        <w:rPr>
          <w:iCs/>
          <w:lang w:val="en-US"/>
        </w:rPr>
        <w:t xml:space="preserve">and </w:t>
      </w:r>
      <w:r>
        <w:rPr>
          <w:iCs/>
          <w:lang w:val="en-US"/>
        </w:rPr>
        <w:t xml:space="preserve">are </w:t>
      </w:r>
      <w:r w:rsidR="0009512C">
        <w:rPr>
          <w:iCs/>
          <w:lang w:val="en-US"/>
        </w:rPr>
        <w:t xml:space="preserve">now </w:t>
      </w:r>
      <w:r w:rsidR="00E50E92">
        <w:rPr>
          <w:iCs/>
          <w:lang w:val="en-US"/>
        </w:rPr>
        <w:t>also</w:t>
      </w:r>
      <w:r>
        <w:rPr>
          <w:iCs/>
          <w:lang w:val="en-US"/>
        </w:rPr>
        <w:t xml:space="preserve"> considered</w:t>
      </w:r>
      <w:r w:rsidR="0009512C">
        <w:rPr>
          <w:iCs/>
          <w:lang w:val="en-US"/>
        </w:rPr>
        <w:t xml:space="preserve"> for terrestrial IMT-2030</w:t>
      </w:r>
      <w:r w:rsidR="00552B5C">
        <w:rPr>
          <w:iCs/>
          <w:lang w:val="en-US"/>
        </w:rPr>
        <w:t xml:space="preserve"> with unchanged evaluation methodologies</w:t>
      </w:r>
      <w:r w:rsidR="00E21E22">
        <w:rPr>
          <w:iCs/>
          <w:lang w:val="en-US"/>
        </w:rPr>
        <w:t>:</w:t>
      </w:r>
    </w:p>
    <w:p w14:paraId="741DBECF" w14:textId="40ADB205" w:rsidR="002F7084" w:rsidRDefault="002F7084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 w:rsidRPr="00B94602">
        <w:rPr>
          <w:rFonts w:ascii="Arial" w:hAnsi="Arial" w:cs="Arial"/>
          <w:lang w:val="en-US"/>
        </w:rPr>
        <w:t xml:space="preserve">Peak data </w:t>
      </w:r>
      <w:r w:rsidR="00B94602" w:rsidRPr="00B94602">
        <w:rPr>
          <w:rFonts w:ascii="Arial" w:hAnsi="Arial" w:cs="Arial"/>
          <w:lang w:val="en-US"/>
        </w:rPr>
        <w:t>rate</w:t>
      </w:r>
    </w:p>
    <w:p w14:paraId="0FCCC060" w14:textId="42F83BBF" w:rsidR="00F56E6D" w:rsidRDefault="001D3537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User experienced data rate</w:t>
      </w:r>
    </w:p>
    <w:p w14:paraId="009CF336" w14:textId="7A21104F" w:rsidR="001D3537" w:rsidRDefault="001D3537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Peak spectral efficiency</w:t>
      </w:r>
    </w:p>
    <w:p w14:paraId="5F0F65A1" w14:textId="1CE3F773" w:rsidR="001D3537" w:rsidRDefault="00BA1E98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Average spectral efficiency</w:t>
      </w:r>
    </w:p>
    <w:p w14:paraId="2B3E577F" w14:textId="2B10E80E" w:rsidR="00BA1E98" w:rsidRDefault="00BA1E98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Pr="00BA1E98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percentile spectral efficiency</w:t>
      </w:r>
    </w:p>
    <w:p w14:paraId="0AB0EC6E" w14:textId="04E064EC" w:rsidR="00BA1E98" w:rsidRDefault="00BA1E98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Area traffic capacity</w:t>
      </w:r>
    </w:p>
    <w:p w14:paraId="3A442112" w14:textId="15B08C26" w:rsidR="00BA1E98" w:rsidRDefault="00490092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CP and UP latency</w:t>
      </w:r>
    </w:p>
    <w:p w14:paraId="7FAFADF6" w14:textId="1DF5A082" w:rsidR="00490092" w:rsidRDefault="00A7124A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Connection density</w:t>
      </w:r>
    </w:p>
    <w:p w14:paraId="7DB1F280" w14:textId="143647B8" w:rsidR="00A7124A" w:rsidRDefault="00A7124A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Mobility</w:t>
      </w:r>
    </w:p>
    <w:p w14:paraId="5D2A2855" w14:textId="15D5484E" w:rsidR="00A7124A" w:rsidRDefault="00FF362A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Mobility interruption time</w:t>
      </w:r>
    </w:p>
    <w:p w14:paraId="62F30C45" w14:textId="3A42DD89" w:rsidR="00FF362A" w:rsidRDefault="00FF362A" w:rsidP="00B94602">
      <w:pPr>
        <w:pStyle w:val="ListParagraph"/>
        <w:numPr>
          <w:ilvl w:val="0"/>
          <w:numId w:val="1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Bandwidth (</w:t>
      </w:r>
      <w:r w:rsidR="00EC709C">
        <w:rPr>
          <w:rFonts w:ascii="Arial" w:hAnsi="Arial" w:cs="Arial"/>
          <w:lang w:val="en-US"/>
        </w:rPr>
        <w:t xml:space="preserve">by </w:t>
      </w:r>
      <w:r>
        <w:rPr>
          <w:rFonts w:ascii="Arial" w:hAnsi="Arial" w:cs="Arial"/>
          <w:lang w:val="en-US"/>
        </w:rPr>
        <w:t>inspection only)</w:t>
      </w:r>
    </w:p>
    <w:p w14:paraId="72D39BBC" w14:textId="50CC12FC" w:rsidR="00E21E22" w:rsidRDefault="00EC709C" w:rsidP="009A1A3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We support </w:t>
      </w:r>
      <w:r w:rsidR="001A5BAF">
        <w:rPr>
          <w:iCs/>
          <w:lang w:val="en-US"/>
        </w:rPr>
        <w:t xml:space="preserve">including </w:t>
      </w:r>
      <w:r>
        <w:rPr>
          <w:iCs/>
          <w:lang w:val="en-US"/>
        </w:rPr>
        <w:t xml:space="preserve">all these TPRs </w:t>
      </w:r>
      <w:r w:rsidR="002E6EB2">
        <w:rPr>
          <w:iCs/>
          <w:lang w:val="en-US"/>
        </w:rPr>
        <w:t>as requirements for the IMT-2030 satellite componen</w:t>
      </w:r>
      <w:r w:rsidR="00D6653E">
        <w:rPr>
          <w:iCs/>
          <w:lang w:val="en-US"/>
        </w:rPr>
        <w:t xml:space="preserve">t, </w:t>
      </w:r>
      <w:r w:rsidR="00C87435">
        <w:rPr>
          <w:iCs/>
          <w:lang w:val="en-US"/>
        </w:rPr>
        <w:t xml:space="preserve">even considering that the evaluation methodology </w:t>
      </w:r>
      <w:r w:rsidR="0024577F">
        <w:rPr>
          <w:iCs/>
          <w:lang w:val="en-US"/>
        </w:rPr>
        <w:t xml:space="preserve">for the UL requirement on </w:t>
      </w:r>
      <w:r w:rsidR="0024577F" w:rsidRPr="00A321CC">
        <w:rPr>
          <w:i/>
          <w:lang w:val="en-US"/>
        </w:rPr>
        <w:t>User experienced data rate</w:t>
      </w:r>
      <w:r w:rsidR="006800D8">
        <w:rPr>
          <w:iCs/>
          <w:lang w:val="en-US"/>
        </w:rPr>
        <w:t xml:space="preserve"> might be changed slightly </w:t>
      </w:r>
      <w:r w:rsidR="007A7738">
        <w:rPr>
          <w:iCs/>
          <w:lang w:val="en-US"/>
        </w:rPr>
        <w:t>compared to IMT-2020.</w:t>
      </w:r>
      <w:r w:rsidR="004074A3">
        <w:rPr>
          <w:iCs/>
          <w:lang w:val="en-US"/>
        </w:rPr>
        <w:t xml:space="preserve"> T</w:t>
      </w:r>
      <w:r w:rsidR="00D6653E">
        <w:rPr>
          <w:iCs/>
          <w:lang w:val="en-US"/>
        </w:rPr>
        <w:t xml:space="preserve">he values </w:t>
      </w:r>
      <w:r w:rsidR="004074A3">
        <w:rPr>
          <w:iCs/>
          <w:lang w:val="en-US"/>
        </w:rPr>
        <w:t xml:space="preserve">should be </w:t>
      </w:r>
      <w:r w:rsidR="001746E5">
        <w:rPr>
          <w:iCs/>
          <w:lang w:val="en-US"/>
        </w:rPr>
        <w:t>adapted to satellite conditions, as for IMT-2020</w:t>
      </w:r>
      <w:r w:rsidR="002E6EB2">
        <w:rPr>
          <w:iCs/>
          <w:lang w:val="en-US"/>
        </w:rPr>
        <w:t xml:space="preserve">. </w:t>
      </w:r>
    </w:p>
    <w:p w14:paraId="525A72D0" w14:textId="0EE6D33C" w:rsidR="00D74AB6" w:rsidRDefault="00D74AB6" w:rsidP="005649DD">
      <w:pPr>
        <w:pStyle w:val="Proposal"/>
      </w:pPr>
      <w:r>
        <w:t xml:space="preserve">TPRs inherited from IMT-2020 </w:t>
      </w:r>
      <w:r w:rsidR="00552B5C">
        <w:t xml:space="preserve">with unchanged evaluation methodologies </w:t>
      </w:r>
      <w:r>
        <w:t xml:space="preserve">should also become TPRs for </w:t>
      </w:r>
      <w:r w:rsidR="005649DD">
        <w:t xml:space="preserve">satellite </w:t>
      </w:r>
      <w:r>
        <w:t>IMT-2030</w:t>
      </w:r>
      <w:r w:rsidR="005649DD">
        <w:t>.</w:t>
      </w:r>
    </w:p>
    <w:p w14:paraId="1AFF12DA" w14:textId="62AC6F7B" w:rsidR="001746E5" w:rsidRDefault="001746E5" w:rsidP="009A1A3C">
      <w:pPr>
        <w:jc w:val="both"/>
        <w:rPr>
          <w:iCs/>
          <w:lang w:val="en-US"/>
        </w:rPr>
      </w:pPr>
    </w:p>
    <w:p w14:paraId="2EED59A6" w14:textId="223A32B2" w:rsidR="00AF5A03" w:rsidRDefault="00AF5A03" w:rsidP="00F90C6D">
      <w:pPr>
        <w:pStyle w:val="Heading3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Reliability</w:t>
      </w:r>
    </w:p>
    <w:p w14:paraId="75F35078" w14:textId="35550294" w:rsidR="00AF5A03" w:rsidRDefault="00AF5A03" w:rsidP="00AF5A03">
      <w:pPr>
        <w:jc w:val="both"/>
        <w:rPr>
          <w:iCs/>
          <w:lang w:val="en-US"/>
        </w:rPr>
      </w:pPr>
      <w:r>
        <w:rPr>
          <w:iCs/>
          <w:lang w:val="en-US"/>
        </w:rPr>
        <w:t xml:space="preserve">Reliability </w:t>
      </w:r>
      <w:r w:rsidR="00590209">
        <w:rPr>
          <w:iCs/>
          <w:lang w:val="en-US"/>
        </w:rPr>
        <w:t xml:space="preserve">as part of the </w:t>
      </w:r>
      <w:r w:rsidR="000B4F22">
        <w:rPr>
          <w:iCs/>
          <w:lang w:val="en-US"/>
        </w:rPr>
        <w:t xml:space="preserve">terrestrial IMT-2020 </w:t>
      </w:r>
      <w:r w:rsidR="00326D7D">
        <w:rPr>
          <w:iCs/>
          <w:lang w:val="en-US"/>
        </w:rPr>
        <w:t xml:space="preserve">TPRs </w:t>
      </w:r>
      <w:r w:rsidR="00F0564A">
        <w:rPr>
          <w:iCs/>
          <w:lang w:val="en-US"/>
        </w:rPr>
        <w:t xml:space="preserve">relates to </w:t>
      </w:r>
      <w:r w:rsidR="004A2450">
        <w:rPr>
          <w:iCs/>
          <w:lang w:val="en-US"/>
        </w:rPr>
        <w:t xml:space="preserve">successful transmission of a certain </w:t>
      </w:r>
      <w:r w:rsidR="00F0564A">
        <w:rPr>
          <w:iCs/>
          <w:lang w:val="en-US"/>
        </w:rPr>
        <w:t xml:space="preserve">amount of </w:t>
      </w:r>
      <w:r w:rsidR="004A2450">
        <w:rPr>
          <w:iCs/>
          <w:lang w:val="en-US"/>
        </w:rPr>
        <w:t xml:space="preserve">data within a certain time. For the satellite variant, it was </w:t>
      </w:r>
      <w:r w:rsidR="00F60E0B">
        <w:rPr>
          <w:iCs/>
          <w:lang w:val="en-US"/>
        </w:rPr>
        <w:t xml:space="preserve">agreed to remove </w:t>
      </w:r>
      <w:r w:rsidR="00326D7D">
        <w:rPr>
          <w:iCs/>
          <w:lang w:val="en-US"/>
        </w:rPr>
        <w:t>the time requirement</w:t>
      </w:r>
      <w:r w:rsidR="00A4454D">
        <w:rPr>
          <w:iCs/>
          <w:lang w:val="en-US"/>
        </w:rPr>
        <w:t xml:space="preserve">, due to the long propagation delay in satellite networks. Instead, the proponent has to report the time required to achieve </w:t>
      </w:r>
      <w:r w:rsidR="0055378A">
        <w:rPr>
          <w:iCs/>
          <w:lang w:val="en-US"/>
        </w:rPr>
        <w:t xml:space="preserve">the reliability target. </w:t>
      </w:r>
      <w:r w:rsidR="009E7F0A">
        <w:rPr>
          <w:iCs/>
          <w:lang w:val="en-US"/>
        </w:rPr>
        <w:t>S</w:t>
      </w:r>
      <w:r w:rsidR="00A3631B">
        <w:rPr>
          <w:iCs/>
          <w:lang w:val="en-US"/>
        </w:rPr>
        <w:t>ince the long propagation delay is an inherent property of satellite communications, the same argument applies also for IMT-2030</w:t>
      </w:r>
      <w:r w:rsidR="00394B3F">
        <w:rPr>
          <w:iCs/>
          <w:lang w:val="en-US"/>
        </w:rPr>
        <w:t xml:space="preserve">. In our view the reliability TPR for satellite IMT-2030 should follow the example from IMT-2020 and </w:t>
      </w:r>
      <w:r w:rsidR="00C07370">
        <w:rPr>
          <w:iCs/>
          <w:lang w:val="en-US"/>
        </w:rPr>
        <w:t xml:space="preserve">consist of </w:t>
      </w:r>
      <w:r w:rsidR="00635F37">
        <w:rPr>
          <w:iCs/>
          <w:lang w:val="en-US"/>
        </w:rPr>
        <w:t xml:space="preserve">the </w:t>
      </w:r>
      <w:r w:rsidR="00C07370">
        <w:rPr>
          <w:iCs/>
          <w:lang w:val="en-US"/>
        </w:rPr>
        <w:t xml:space="preserve">success </w:t>
      </w:r>
      <w:r w:rsidR="00635F37">
        <w:rPr>
          <w:iCs/>
          <w:lang w:val="en-US"/>
        </w:rPr>
        <w:t xml:space="preserve">probability </w:t>
      </w:r>
      <w:r w:rsidR="00C07370">
        <w:rPr>
          <w:iCs/>
          <w:lang w:val="en-US"/>
        </w:rPr>
        <w:t xml:space="preserve">of </w:t>
      </w:r>
      <w:r w:rsidR="00635F37">
        <w:rPr>
          <w:iCs/>
          <w:lang w:val="en-US"/>
        </w:rPr>
        <w:t xml:space="preserve">a data transmission without a </w:t>
      </w:r>
      <w:r w:rsidR="003E2250">
        <w:rPr>
          <w:iCs/>
          <w:lang w:val="en-US"/>
        </w:rPr>
        <w:t xml:space="preserve">simultaneous </w:t>
      </w:r>
      <w:r w:rsidR="002340D9">
        <w:rPr>
          <w:iCs/>
          <w:lang w:val="en-US"/>
        </w:rPr>
        <w:t>requirement on transmission time.</w:t>
      </w:r>
    </w:p>
    <w:p w14:paraId="11300BB6" w14:textId="4B3C63C2" w:rsidR="002340D9" w:rsidRDefault="00EF48B6" w:rsidP="004D7F21">
      <w:pPr>
        <w:pStyle w:val="Proposal"/>
      </w:pPr>
      <w:r>
        <w:t>The r</w:t>
      </w:r>
      <w:r w:rsidR="002340D9">
        <w:t xml:space="preserve">eliability </w:t>
      </w:r>
      <w:r>
        <w:t xml:space="preserve">TPR </w:t>
      </w:r>
      <w:r w:rsidR="00D816A8">
        <w:t xml:space="preserve">for satellite IMT-2030 </w:t>
      </w:r>
      <w:r w:rsidR="002340D9">
        <w:t xml:space="preserve">should </w:t>
      </w:r>
      <w:r w:rsidR="003E2250">
        <w:t>consist of the success probability of a data transmission without a simultaneous requirement on transmission time</w:t>
      </w:r>
      <w:r w:rsidR="007D2B06">
        <w:t>, as in the IMT-2020 satellite component.</w:t>
      </w:r>
    </w:p>
    <w:p w14:paraId="6BB12AEB" w14:textId="77777777" w:rsidR="00F90C6D" w:rsidRDefault="00F90C6D" w:rsidP="00AF5A03">
      <w:pPr>
        <w:jc w:val="both"/>
        <w:rPr>
          <w:iCs/>
          <w:lang w:val="en-US"/>
        </w:rPr>
      </w:pPr>
    </w:p>
    <w:p w14:paraId="3CE8CA7E" w14:textId="5A8374CD" w:rsidR="005649DD" w:rsidRDefault="007D16E6" w:rsidP="00F90C6D">
      <w:pPr>
        <w:pStyle w:val="Heading3"/>
        <w:rPr>
          <w:lang w:val="en-US"/>
        </w:rPr>
      </w:pPr>
      <w:r>
        <w:rPr>
          <w:lang w:val="en-US"/>
        </w:rPr>
        <w:t>2.</w:t>
      </w:r>
      <w:r w:rsidR="00AF5A03">
        <w:rPr>
          <w:lang w:val="en-US"/>
        </w:rPr>
        <w:t>3</w:t>
      </w:r>
      <w:r>
        <w:rPr>
          <w:lang w:val="en-US"/>
        </w:rPr>
        <w:tab/>
      </w:r>
      <w:r w:rsidR="005649DD">
        <w:rPr>
          <w:lang w:val="en-US"/>
        </w:rPr>
        <w:t>Energy efficiency</w:t>
      </w:r>
    </w:p>
    <w:p w14:paraId="67EC78A0" w14:textId="7CC25DEC" w:rsidR="006E0622" w:rsidRDefault="006E0622" w:rsidP="009A1A3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Energy efficiency has been part of the IMT-2020 requirements, both for terrestrial and satellite, </w:t>
      </w:r>
      <w:r w:rsidR="00DC38CB">
        <w:rPr>
          <w:iCs/>
          <w:lang w:val="en-US"/>
        </w:rPr>
        <w:t>where it was to be evaluated by inspection.</w:t>
      </w:r>
      <w:r w:rsidR="005C7935">
        <w:rPr>
          <w:iCs/>
          <w:lang w:val="en-US"/>
        </w:rPr>
        <w:t xml:space="preserve"> For IMT-2030</w:t>
      </w:r>
      <w:r w:rsidR="007D16E6">
        <w:rPr>
          <w:iCs/>
          <w:lang w:val="en-US"/>
        </w:rPr>
        <w:t xml:space="preserve">, </w:t>
      </w:r>
      <w:r w:rsidR="009D7BAE">
        <w:rPr>
          <w:iCs/>
          <w:lang w:val="en-US"/>
        </w:rPr>
        <w:t xml:space="preserve">it is proposed that energy efficiency is to be evaluated analytically. </w:t>
      </w:r>
      <w:r w:rsidR="007D16E6">
        <w:rPr>
          <w:iCs/>
          <w:lang w:val="en-US"/>
        </w:rPr>
        <w:t xml:space="preserve">While the details have yet to be settled, we believe that </w:t>
      </w:r>
      <w:r w:rsidR="00F4403B">
        <w:rPr>
          <w:iCs/>
          <w:lang w:val="en-US"/>
        </w:rPr>
        <w:t xml:space="preserve">the same approach should be followed for the satellite version of this requirement. </w:t>
      </w:r>
    </w:p>
    <w:p w14:paraId="7CEC185A" w14:textId="262B1090" w:rsidR="00F4403B" w:rsidRDefault="00F4403B" w:rsidP="00AF5A03">
      <w:pPr>
        <w:pStyle w:val="Proposal"/>
      </w:pPr>
      <w:r>
        <w:t xml:space="preserve">Energy efficiency should be part of the </w:t>
      </w:r>
      <w:r w:rsidR="00E869E4">
        <w:t xml:space="preserve">satellite IMT-2030 TPRs, and should be evaluated analytically, following the </w:t>
      </w:r>
      <w:r w:rsidR="00AF5A03">
        <w:t xml:space="preserve">model of the </w:t>
      </w:r>
      <w:r w:rsidR="00E869E4">
        <w:t>terrestrial requirement.</w:t>
      </w:r>
      <w:r w:rsidR="004D7F21">
        <w:t xml:space="preserve"> Details are FFS.</w:t>
      </w:r>
    </w:p>
    <w:p w14:paraId="19C75EEC" w14:textId="77777777" w:rsidR="00AF5A03" w:rsidRDefault="00AF5A03" w:rsidP="009A1A3C">
      <w:pPr>
        <w:jc w:val="both"/>
        <w:rPr>
          <w:iCs/>
          <w:lang w:val="en-US"/>
        </w:rPr>
      </w:pPr>
    </w:p>
    <w:p w14:paraId="246ABABB" w14:textId="5829E1E8" w:rsidR="005649DD" w:rsidRDefault="002E6D49" w:rsidP="002E6D49">
      <w:pPr>
        <w:pStyle w:val="Heading3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 w:rsidR="005649DD">
        <w:rPr>
          <w:lang w:val="en-US"/>
        </w:rPr>
        <w:t>New requirements</w:t>
      </w:r>
    </w:p>
    <w:p w14:paraId="3C061206" w14:textId="448A25AA" w:rsidR="005649DD" w:rsidRDefault="009837A2" w:rsidP="002E6D49">
      <w:pPr>
        <w:jc w:val="both"/>
        <w:rPr>
          <w:iCs/>
          <w:lang w:val="en-US"/>
        </w:rPr>
      </w:pPr>
      <w:r>
        <w:rPr>
          <w:iCs/>
          <w:lang w:val="en-US"/>
        </w:rPr>
        <w:t>For terrestrial IMT-2030, a number of new TPRs is also being discussed</w:t>
      </w:r>
      <w:r w:rsidR="000A5CDA">
        <w:rPr>
          <w:iCs/>
          <w:lang w:val="en-US"/>
        </w:rPr>
        <w:t>, in particular the following:</w:t>
      </w:r>
    </w:p>
    <w:p w14:paraId="109A39B9" w14:textId="4DEDCBDC" w:rsidR="000A5CDA" w:rsidRP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 w:rsidRPr="000A5CDA">
        <w:rPr>
          <w:rFonts w:ascii="Arial" w:hAnsi="Arial" w:cs="Arial"/>
          <w:iCs/>
          <w:lang w:val="en-US"/>
        </w:rPr>
        <w:t>Resilience</w:t>
      </w:r>
    </w:p>
    <w:p w14:paraId="7D167D3D" w14:textId="763D5897" w:rsidR="000A5CDA" w:rsidRP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 w:rsidRPr="000A5CDA">
        <w:rPr>
          <w:rFonts w:ascii="Arial" w:hAnsi="Arial" w:cs="Arial"/>
          <w:iCs/>
          <w:lang w:val="en-US"/>
        </w:rPr>
        <w:t>Positioning</w:t>
      </w:r>
    </w:p>
    <w:p w14:paraId="075699A7" w14:textId="1A23443A" w:rsidR="000A5CDA" w:rsidRP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 w:rsidRPr="000A5CDA">
        <w:rPr>
          <w:rFonts w:ascii="Arial" w:hAnsi="Arial" w:cs="Arial"/>
          <w:iCs/>
          <w:lang w:val="en-US"/>
        </w:rPr>
        <w:t>Sensing-related capabilities</w:t>
      </w:r>
    </w:p>
    <w:p w14:paraId="6F478536" w14:textId="32E779AA" w:rsidR="000A5CDA" w:rsidRP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 w:rsidRPr="000A5CDA">
        <w:rPr>
          <w:rFonts w:ascii="Arial" w:hAnsi="Arial" w:cs="Arial"/>
          <w:iCs/>
          <w:lang w:val="en-US"/>
        </w:rPr>
        <w:t>Applicable AI</w:t>
      </w:r>
      <w:r w:rsidRPr="000A5CDA">
        <w:rPr>
          <w:rFonts w:ascii="Arial" w:hAnsi="Arial" w:cs="Arial"/>
          <w:iCs/>
          <w:lang w:val="en-US"/>
        </w:rPr>
        <w:noBreakHyphen/>
        <w:t>related capabilities</w:t>
      </w:r>
    </w:p>
    <w:p w14:paraId="71D63CA2" w14:textId="676D4375" w:rsidR="000A5CDA" w:rsidRP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 w:rsidRPr="000A5CDA">
        <w:rPr>
          <w:rFonts w:ascii="Arial" w:hAnsi="Arial" w:cs="Arial"/>
          <w:iCs/>
          <w:lang w:val="en-US"/>
        </w:rPr>
        <w:t>Interoperability</w:t>
      </w:r>
    </w:p>
    <w:p w14:paraId="54014689" w14:textId="33F3A0C0" w:rsidR="000A5CDA" w:rsidRDefault="000A5CDA" w:rsidP="000A5CDA">
      <w:pPr>
        <w:pStyle w:val="ListParagraph"/>
        <w:numPr>
          <w:ilvl w:val="0"/>
          <w:numId w:val="14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“</w:t>
      </w:r>
      <w:r w:rsidRPr="000A5CDA">
        <w:rPr>
          <w:rFonts w:ascii="Arial" w:hAnsi="Arial" w:cs="Arial"/>
          <w:iCs/>
          <w:lang w:val="en-US"/>
        </w:rPr>
        <w:t xml:space="preserve">Joint </w:t>
      </w:r>
      <w:r w:rsidR="00AA5154">
        <w:rPr>
          <w:rFonts w:ascii="Arial" w:hAnsi="Arial" w:cs="Arial"/>
          <w:iCs/>
          <w:lang w:val="en-US"/>
        </w:rPr>
        <w:t>r</w:t>
      </w:r>
      <w:r w:rsidRPr="000A5CDA">
        <w:rPr>
          <w:rFonts w:ascii="Arial" w:hAnsi="Arial" w:cs="Arial"/>
          <w:iCs/>
          <w:lang w:val="en-US"/>
        </w:rPr>
        <w:t>equirement</w:t>
      </w:r>
      <w:r>
        <w:rPr>
          <w:rFonts w:ascii="Arial" w:hAnsi="Arial" w:cs="Arial"/>
          <w:iCs/>
          <w:lang w:val="en-US"/>
        </w:rPr>
        <w:t>”</w:t>
      </w:r>
    </w:p>
    <w:p w14:paraId="6D91511A" w14:textId="0D21703E" w:rsidR="001630B6" w:rsidRDefault="001630B6" w:rsidP="002E6D49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Out of these, we believe that </w:t>
      </w:r>
      <w:r w:rsidR="00AA5154" w:rsidRPr="00AA5154">
        <w:rPr>
          <w:i/>
          <w:lang w:val="en-US"/>
        </w:rPr>
        <w:t>Sensing-related capabilities</w:t>
      </w:r>
      <w:r w:rsidR="00AA5154">
        <w:rPr>
          <w:iCs/>
          <w:lang w:val="en-US"/>
        </w:rPr>
        <w:t xml:space="preserve"> and the </w:t>
      </w:r>
      <w:r w:rsidR="00AA5154" w:rsidRPr="000D070E">
        <w:rPr>
          <w:i/>
          <w:lang w:val="en-US"/>
        </w:rPr>
        <w:t>“Joint requirement”</w:t>
      </w:r>
      <w:r w:rsidR="00AA5154">
        <w:rPr>
          <w:iCs/>
          <w:lang w:val="en-US"/>
        </w:rPr>
        <w:t xml:space="preserve"> are </w:t>
      </w:r>
      <w:r w:rsidR="006D7D02">
        <w:rPr>
          <w:iCs/>
          <w:lang w:val="en-US"/>
        </w:rPr>
        <w:t xml:space="preserve">targeting use cases </w:t>
      </w:r>
      <w:r w:rsidR="00657491">
        <w:rPr>
          <w:iCs/>
          <w:lang w:val="en-US"/>
        </w:rPr>
        <w:t xml:space="preserve">(sensing and XR, respectively) which </w:t>
      </w:r>
      <w:r w:rsidR="006D7D02">
        <w:rPr>
          <w:iCs/>
          <w:lang w:val="en-US"/>
        </w:rPr>
        <w:t xml:space="preserve">are </w:t>
      </w:r>
      <w:r w:rsidR="00AA5154">
        <w:rPr>
          <w:iCs/>
          <w:lang w:val="en-US"/>
        </w:rPr>
        <w:t>not applicable to the satellite component</w:t>
      </w:r>
      <w:r w:rsidR="00657491">
        <w:rPr>
          <w:iCs/>
          <w:lang w:val="en-US"/>
        </w:rPr>
        <w:t xml:space="preserve">. </w:t>
      </w:r>
      <w:r w:rsidR="002E6D49">
        <w:rPr>
          <w:iCs/>
          <w:lang w:val="en-US"/>
        </w:rPr>
        <w:t>In our view</w:t>
      </w:r>
      <w:r w:rsidR="00657491">
        <w:rPr>
          <w:iCs/>
          <w:lang w:val="en-US"/>
        </w:rPr>
        <w:t xml:space="preserve">, these </w:t>
      </w:r>
      <w:r w:rsidR="00AA5154">
        <w:rPr>
          <w:iCs/>
          <w:lang w:val="en-US"/>
        </w:rPr>
        <w:t xml:space="preserve">should </w:t>
      </w:r>
      <w:r w:rsidR="002E6D49">
        <w:rPr>
          <w:iCs/>
          <w:lang w:val="en-US"/>
        </w:rPr>
        <w:t xml:space="preserve">therefore </w:t>
      </w:r>
      <w:r w:rsidR="00A91AFD">
        <w:rPr>
          <w:iCs/>
          <w:lang w:val="en-US"/>
        </w:rPr>
        <w:t xml:space="preserve">not become TPRs for satellite IMT-2030. </w:t>
      </w:r>
    </w:p>
    <w:p w14:paraId="466F737F" w14:textId="0F5D4E3A" w:rsidR="00531B9A" w:rsidRDefault="00531B9A" w:rsidP="00531B9A">
      <w:pPr>
        <w:pStyle w:val="Proposal"/>
      </w:pPr>
      <w:r w:rsidRPr="00D53E9A">
        <w:rPr>
          <w:i/>
          <w:iCs/>
        </w:rPr>
        <w:t>Sensing-related capabilities</w:t>
      </w:r>
      <w:r>
        <w:t xml:space="preserve"> and the </w:t>
      </w:r>
      <w:r w:rsidRPr="00D53E9A">
        <w:rPr>
          <w:i/>
          <w:iCs/>
        </w:rPr>
        <w:t>“Joint requirement”</w:t>
      </w:r>
      <w:r>
        <w:t xml:space="preserve"> should not become TPRs for the IMT-2030 satellite component.</w:t>
      </w:r>
    </w:p>
    <w:p w14:paraId="281F3A79" w14:textId="4E7A7C63" w:rsidR="001565E0" w:rsidRDefault="008D3809" w:rsidP="00283DE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a terrestrial context, the </w:t>
      </w:r>
      <w:r w:rsidR="001565E0" w:rsidRPr="00E61A39">
        <w:rPr>
          <w:i/>
          <w:lang w:val="en-US"/>
        </w:rPr>
        <w:t>Positioning</w:t>
      </w:r>
      <w:r w:rsidR="001565E0">
        <w:rPr>
          <w:iCs/>
          <w:lang w:val="en-US"/>
        </w:rPr>
        <w:t xml:space="preserve"> </w:t>
      </w:r>
      <w:r>
        <w:rPr>
          <w:iCs/>
          <w:lang w:val="en-US"/>
        </w:rPr>
        <w:t>TPR relates mainly to indoor and dense urban</w:t>
      </w:r>
      <w:r w:rsidR="00A605D7">
        <w:rPr>
          <w:iCs/>
          <w:lang w:val="en-US"/>
        </w:rPr>
        <w:t xml:space="preserve"> </w:t>
      </w:r>
      <w:r w:rsidR="003C77CA">
        <w:rPr>
          <w:iCs/>
          <w:lang w:val="en-US"/>
        </w:rPr>
        <w:t>usage scenarios</w:t>
      </w:r>
      <w:r w:rsidR="00A605D7">
        <w:rPr>
          <w:iCs/>
          <w:lang w:val="en-US"/>
        </w:rPr>
        <w:t xml:space="preserve">. </w:t>
      </w:r>
      <w:r w:rsidR="00283DEC">
        <w:rPr>
          <w:iCs/>
          <w:lang w:val="en-US"/>
        </w:rPr>
        <w:t xml:space="preserve">Again, these scenarios are not relevant for the satellite component. </w:t>
      </w:r>
      <w:r w:rsidR="00D57FCA">
        <w:rPr>
          <w:iCs/>
          <w:lang w:val="en-US"/>
        </w:rPr>
        <w:t xml:space="preserve">On the other hand, the </w:t>
      </w:r>
      <w:r w:rsidR="00E61A39">
        <w:rPr>
          <w:iCs/>
          <w:lang w:val="en-US"/>
        </w:rPr>
        <w:t xml:space="preserve">ability to perform positioning as such could be relevant for satellite scenarios, so </w:t>
      </w:r>
      <w:r w:rsidR="00BB7ECA">
        <w:rPr>
          <w:iCs/>
          <w:lang w:val="en-US"/>
        </w:rPr>
        <w:t xml:space="preserve">a corresponding TPR might be motivated. In our view, the inclusion of a positioning requirement for satellite IMT-2030 </w:t>
      </w:r>
      <w:r w:rsidR="001105D8">
        <w:rPr>
          <w:iCs/>
          <w:lang w:val="en-US"/>
        </w:rPr>
        <w:t xml:space="preserve">should be discussed further. </w:t>
      </w:r>
    </w:p>
    <w:p w14:paraId="678D0658" w14:textId="1FCAD4E8" w:rsidR="00C74F68" w:rsidRDefault="002952C1" w:rsidP="0099680D">
      <w:pPr>
        <w:pStyle w:val="Proposal"/>
      </w:pPr>
      <w:r>
        <w:t xml:space="preserve">The inclusion of </w:t>
      </w:r>
      <w:r w:rsidR="00C74F68" w:rsidRPr="0099680D">
        <w:rPr>
          <w:i/>
          <w:iCs/>
        </w:rPr>
        <w:t>Positioning</w:t>
      </w:r>
      <w:r w:rsidR="00C74F68">
        <w:t xml:space="preserve"> </w:t>
      </w:r>
      <w:r>
        <w:t xml:space="preserve">as a TPR </w:t>
      </w:r>
      <w:r w:rsidR="0099680D">
        <w:t>for the IMT-2030 satellite component needs further discussion.</w:t>
      </w:r>
    </w:p>
    <w:p w14:paraId="1E703095" w14:textId="66BFD348" w:rsidR="001105D8" w:rsidRDefault="00D503C0" w:rsidP="00283DEC">
      <w:pPr>
        <w:jc w:val="both"/>
        <w:rPr>
          <w:iCs/>
          <w:lang w:val="en-US"/>
        </w:rPr>
      </w:pPr>
      <w:r>
        <w:rPr>
          <w:iCs/>
          <w:lang w:val="en-US"/>
        </w:rPr>
        <w:t>When it comes to Resilience</w:t>
      </w:r>
      <w:r w:rsidR="00271DA1">
        <w:rPr>
          <w:iCs/>
          <w:lang w:val="en-US"/>
        </w:rPr>
        <w:t xml:space="preserve">, </w:t>
      </w:r>
      <w:r>
        <w:rPr>
          <w:iCs/>
          <w:lang w:val="en-US"/>
        </w:rPr>
        <w:t>Interoperability</w:t>
      </w:r>
      <w:r w:rsidR="00271DA1">
        <w:rPr>
          <w:iCs/>
          <w:lang w:val="en-US"/>
        </w:rPr>
        <w:t xml:space="preserve">, and AI-related capabilities, we </w:t>
      </w:r>
      <w:r w:rsidR="00AC134E">
        <w:rPr>
          <w:iCs/>
          <w:lang w:val="en-US"/>
        </w:rPr>
        <w:t xml:space="preserve">believe that these relate to </w:t>
      </w:r>
      <w:r w:rsidR="0081248C">
        <w:rPr>
          <w:iCs/>
          <w:lang w:val="en-US"/>
        </w:rPr>
        <w:t xml:space="preserve">basic </w:t>
      </w:r>
      <w:r w:rsidR="00AC134E">
        <w:rPr>
          <w:iCs/>
          <w:lang w:val="en-US"/>
        </w:rPr>
        <w:t>features and capabilities of the radio interface</w:t>
      </w:r>
      <w:r w:rsidR="0081248C">
        <w:rPr>
          <w:iCs/>
          <w:lang w:val="en-US"/>
        </w:rPr>
        <w:t xml:space="preserve">. Since we envision the same radio interface for the terrestrial and satellite components of IMT-2030, </w:t>
      </w:r>
      <w:r w:rsidR="00F64FEB">
        <w:rPr>
          <w:iCs/>
          <w:lang w:val="en-US"/>
        </w:rPr>
        <w:t xml:space="preserve">we believe that these TPRs should be evaluated by inspection and would be suitable </w:t>
      </w:r>
      <w:r w:rsidR="00B74995">
        <w:rPr>
          <w:iCs/>
          <w:lang w:val="en-US"/>
        </w:rPr>
        <w:t xml:space="preserve">requirements </w:t>
      </w:r>
      <w:r w:rsidR="00F64FEB">
        <w:rPr>
          <w:iCs/>
          <w:lang w:val="en-US"/>
        </w:rPr>
        <w:t>for the satellite component</w:t>
      </w:r>
      <w:r w:rsidR="00B74995">
        <w:rPr>
          <w:iCs/>
          <w:lang w:val="en-US"/>
        </w:rPr>
        <w:t>. The details need further discussion, however.</w:t>
      </w:r>
    </w:p>
    <w:p w14:paraId="2FDA2DBB" w14:textId="4725B457" w:rsidR="00B74995" w:rsidRDefault="00D53E9A" w:rsidP="0099680D">
      <w:pPr>
        <w:pStyle w:val="Proposal"/>
      </w:pPr>
      <w:r>
        <w:t xml:space="preserve">We support the inclusion of </w:t>
      </w:r>
      <w:r w:rsidRPr="0099680D">
        <w:rPr>
          <w:i/>
          <w:iCs/>
        </w:rPr>
        <w:t>Resilience</w:t>
      </w:r>
      <w:r>
        <w:t xml:space="preserve">, </w:t>
      </w:r>
      <w:r w:rsidRPr="0099680D">
        <w:rPr>
          <w:i/>
          <w:iCs/>
        </w:rPr>
        <w:t>Interoperability</w:t>
      </w:r>
      <w:r>
        <w:t xml:space="preserve">, and </w:t>
      </w:r>
      <w:r w:rsidRPr="0099680D">
        <w:rPr>
          <w:i/>
          <w:iCs/>
        </w:rPr>
        <w:t>AI-related capabilities</w:t>
      </w:r>
      <w:r>
        <w:t xml:space="preserve"> as TPRs for satellite IMT-2030, to be evaluated by inspection. The details are FFS.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193B5055" w14:textId="54A97502" w:rsidR="009B2468" w:rsidRDefault="0091359B" w:rsidP="00B67DCD">
      <w:r w:rsidRPr="046576F8">
        <w:rPr>
          <w:lang w:val="en-US"/>
        </w:rPr>
        <w:t>I</w:t>
      </w:r>
      <w:r w:rsidR="00167118" w:rsidRPr="046576F8">
        <w:rPr>
          <w:lang w:val="en-US"/>
        </w:rPr>
        <w:t>n</w:t>
      </w:r>
      <w:r w:rsidRPr="046576F8">
        <w:rPr>
          <w:lang w:val="en-US"/>
        </w:rPr>
        <w:t xml:space="preserve"> this contribution </w:t>
      </w:r>
      <w:r w:rsidR="009B2468" w:rsidRPr="046576F8">
        <w:rPr>
          <w:lang w:val="en-US"/>
        </w:rPr>
        <w:t>we provide our view on the potential set of requirements for satellite IMT-2030, we propose the following:</w:t>
      </w:r>
    </w:p>
    <w:p w14:paraId="75502633" w14:textId="2854FF3C" w:rsidR="009B2468" w:rsidRDefault="009B2468" w:rsidP="009B2468">
      <w:pPr>
        <w:pStyle w:val="Proposal"/>
        <w:numPr>
          <w:ilvl w:val="0"/>
          <w:numId w:val="15"/>
        </w:numPr>
        <w:ind w:left="1701" w:hanging="1701"/>
      </w:pPr>
      <w:r>
        <w:t>The definition of the TPRs for satellite IMT-2030 should be based on those for the terrestrial component of IMT-2030, with the values adapted to satellite conditions, following the example from IMT-2020.</w:t>
      </w:r>
    </w:p>
    <w:p w14:paraId="54B4E228" w14:textId="77777777" w:rsidR="009B2468" w:rsidRDefault="009B2468" w:rsidP="009B2468">
      <w:pPr>
        <w:pStyle w:val="Proposal"/>
      </w:pPr>
      <w:r>
        <w:t>TPRs inherited from IMT-2020 with unchanged evaluation methodologies should also become TPRs for satellite IMT-2030.</w:t>
      </w:r>
    </w:p>
    <w:p w14:paraId="4BB5DE22" w14:textId="77777777" w:rsidR="009B2468" w:rsidRDefault="009B2468" w:rsidP="009B2468">
      <w:pPr>
        <w:pStyle w:val="Proposal"/>
      </w:pPr>
      <w:r>
        <w:t>The reliability TPR for satellite IMT-2030 should consist of the success probability of a data transmission without a simultaneous requirement on transmission time, as in the IMT-2020 satellite component.</w:t>
      </w:r>
    </w:p>
    <w:p w14:paraId="57449577" w14:textId="77777777" w:rsidR="009B2468" w:rsidRDefault="009B2468" w:rsidP="009B2468">
      <w:pPr>
        <w:pStyle w:val="Proposal"/>
      </w:pPr>
      <w:r>
        <w:t>Energy efficiency should be part of the satellite IMT-2030 TPRs, and should be evaluated analytically, following the model of the terrestrial requirement. Details are FFS.</w:t>
      </w:r>
    </w:p>
    <w:p w14:paraId="5C09105E" w14:textId="77777777" w:rsidR="009B2468" w:rsidRDefault="009B2468" w:rsidP="009B2468">
      <w:pPr>
        <w:pStyle w:val="Proposal"/>
      </w:pPr>
      <w:r w:rsidRPr="00D53E9A">
        <w:rPr>
          <w:i/>
          <w:iCs/>
        </w:rPr>
        <w:t>Sensing-related capabilities</w:t>
      </w:r>
      <w:r>
        <w:t xml:space="preserve"> and the </w:t>
      </w:r>
      <w:r w:rsidRPr="00D53E9A">
        <w:rPr>
          <w:i/>
          <w:iCs/>
        </w:rPr>
        <w:t>“Joint requirement”</w:t>
      </w:r>
      <w:r>
        <w:t xml:space="preserve"> should not become TPRs for the IMT-2030 satellite component.</w:t>
      </w:r>
    </w:p>
    <w:p w14:paraId="43436040" w14:textId="77777777" w:rsidR="009B2468" w:rsidRDefault="009B2468" w:rsidP="009B2468">
      <w:pPr>
        <w:pStyle w:val="Proposal"/>
      </w:pPr>
      <w:r>
        <w:t xml:space="preserve">The inclusion of </w:t>
      </w:r>
      <w:r w:rsidRPr="0099680D">
        <w:rPr>
          <w:i/>
          <w:iCs/>
        </w:rPr>
        <w:t>Positioning</w:t>
      </w:r>
      <w:r>
        <w:t xml:space="preserve"> as a TPR for the IMT-2030 satellite component needs further discussion.</w:t>
      </w:r>
    </w:p>
    <w:p w14:paraId="697BFD64" w14:textId="4D1043D7" w:rsidR="009B2468" w:rsidRDefault="009B2468" w:rsidP="009B2468">
      <w:pPr>
        <w:pStyle w:val="Proposal"/>
      </w:pPr>
      <w:r>
        <w:t xml:space="preserve">We support the inclusion of </w:t>
      </w:r>
      <w:r w:rsidRPr="0099680D">
        <w:rPr>
          <w:i/>
          <w:iCs/>
        </w:rPr>
        <w:t>Resilience</w:t>
      </w:r>
      <w:r>
        <w:t xml:space="preserve">, </w:t>
      </w:r>
      <w:r w:rsidRPr="0099680D">
        <w:rPr>
          <w:i/>
          <w:iCs/>
        </w:rPr>
        <w:t>Interoperability</w:t>
      </w:r>
      <w:r>
        <w:t xml:space="preserve">, and </w:t>
      </w:r>
      <w:r w:rsidRPr="0099680D">
        <w:rPr>
          <w:i/>
          <w:iCs/>
        </w:rPr>
        <w:t>AI-related capabilities</w:t>
      </w:r>
      <w:r>
        <w:t xml:space="preserve"> as TPRs for satellite IMT-2030, to be evaluated by inspection. The details are FFS.</w:t>
      </w:r>
    </w:p>
    <w:p w14:paraId="2588EF6C" w14:textId="1ED66DB6" w:rsidR="0091359B" w:rsidRDefault="0091359B" w:rsidP="00B67DCD">
      <w:pPr>
        <w:rPr>
          <w:lang w:val="en-US"/>
        </w:rPr>
      </w:pPr>
    </w:p>
    <w:p w14:paraId="699B5A7B" w14:textId="159C4D8B" w:rsidR="00861A1A" w:rsidRPr="00861A1A" w:rsidRDefault="00861A1A" w:rsidP="00861A1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5CE4CD04" w14:textId="37E996C9" w:rsidR="00861A1A" w:rsidRDefault="00861A1A" w:rsidP="00861A1A">
      <w:pPr>
        <w:numPr>
          <w:ilvl w:val="0"/>
          <w:numId w:val="12"/>
        </w:numPr>
        <w:rPr>
          <w:lang w:val="en-GB"/>
        </w:rPr>
      </w:pPr>
      <w:r w:rsidRPr="00861A1A">
        <w:rPr>
          <w:lang w:val="en-GB"/>
        </w:rPr>
        <w:t xml:space="preserve">ITU-R Recommendation </w:t>
      </w:r>
      <w:hyperlink r:id="rId11" w:history="1">
        <w:r w:rsidRPr="00861A1A">
          <w:rPr>
            <w:rStyle w:val="Hyperlink"/>
            <w:lang w:val="en-GB"/>
          </w:rPr>
          <w:t>M.2160-0 (11/2023)</w:t>
        </w:r>
      </w:hyperlink>
      <w:r w:rsidRPr="00861A1A">
        <w:rPr>
          <w:lang w:val="en-GB"/>
        </w:rPr>
        <w:t>, “Framework and overall objectives of the future development of IMT for 2030 and beyond”.</w:t>
      </w:r>
    </w:p>
    <w:p w14:paraId="1E9D9766" w14:textId="171A3D93" w:rsidR="00C6059B" w:rsidRDefault="00A00C94" w:rsidP="00C6059B">
      <w:pPr>
        <w:numPr>
          <w:ilvl w:val="0"/>
          <w:numId w:val="12"/>
        </w:numPr>
        <w:rPr>
          <w:lang w:val="en-GB"/>
        </w:rPr>
      </w:pPr>
      <w:r w:rsidRPr="00937945">
        <w:rPr>
          <w:bCs/>
        </w:rPr>
        <w:t xml:space="preserve">Annex </w:t>
      </w:r>
      <w:r>
        <w:rPr>
          <w:bCs/>
        </w:rPr>
        <w:t>3</w:t>
      </w:r>
      <w:r w:rsidRPr="00937945">
        <w:rPr>
          <w:bCs/>
        </w:rPr>
        <w:t xml:space="preserve"> to </w:t>
      </w:r>
      <w:r w:rsidR="00E00C67">
        <w:rPr>
          <w:bCs/>
          <w:lang w:val="en-US"/>
        </w:rPr>
        <w:t xml:space="preserve">the </w:t>
      </w:r>
      <w:r w:rsidRPr="00937945">
        <w:rPr>
          <w:bCs/>
        </w:rPr>
        <w:t>Chair’s Report</w:t>
      </w:r>
      <w:r w:rsidR="00E00C67">
        <w:rPr>
          <w:bCs/>
          <w:lang w:val="en-US"/>
        </w:rPr>
        <w:t xml:space="preserve"> on the fifty-sixth meeting of Working Party 4B</w:t>
      </w:r>
      <w:r>
        <w:rPr>
          <w:lang w:val="en-GB"/>
        </w:rPr>
        <w:t xml:space="preserve"> (</w:t>
      </w:r>
      <w:hyperlink r:id="rId12" w:history="1">
        <w:r w:rsidRPr="00E00C67">
          <w:rPr>
            <w:rStyle w:val="Hyperlink"/>
            <w:lang w:val="en-GB"/>
          </w:rPr>
          <w:t>Document 4B/139</w:t>
        </w:r>
        <w:r w:rsidR="00E00C67" w:rsidRPr="00E00C67">
          <w:rPr>
            <w:rStyle w:val="Hyperlink"/>
            <w:lang w:val="en-GB"/>
          </w:rPr>
          <w:t xml:space="preserve"> Annex 3</w:t>
        </w:r>
      </w:hyperlink>
      <w:r>
        <w:rPr>
          <w:lang w:val="en-GB"/>
        </w:rPr>
        <w:t>)</w:t>
      </w:r>
      <w:r w:rsidR="00C631FE">
        <w:rPr>
          <w:lang w:val="en-GB"/>
        </w:rPr>
        <w:t>,</w:t>
      </w:r>
      <w:r>
        <w:rPr>
          <w:lang w:val="en-GB"/>
        </w:rPr>
        <w:t xml:space="preserve"> </w:t>
      </w:r>
      <w:r w:rsidR="00C6059B">
        <w:rPr>
          <w:lang w:val="en-GB"/>
        </w:rPr>
        <w:t>“Proposed</w:t>
      </w:r>
      <w:r w:rsidR="00355E91">
        <w:rPr>
          <w:lang w:val="en-GB"/>
        </w:rPr>
        <w:t xml:space="preserve"> Work Plan for the Future Development of Satellite IMT-2030”</w:t>
      </w:r>
      <w:r w:rsidR="00C631FE">
        <w:rPr>
          <w:lang w:val="en-GB"/>
        </w:rPr>
        <w:t>.</w:t>
      </w:r>
    </w:p>
    <w:p w14:paraId="38D50E10" w14:textId="77777777" w:rsidR="00872CD1" w:rsidRDefault="00872CD1" w:rsidP="00872CD1">
      <w:pPr>
        <w:numPr>
          <w:ilvl w:val="0"/>
          <w:numId w:val="12"/>
        </w:numPr>
        <w:rPr>
          <w:lang w:val="en-GB"/>
        </w:rPr>
      </w:pPr>
      <w:r>
        <w:rPr>
          <w:lang w:val="en-GB"/>
        </w:rPr>
        <w:t xml:space="preserve">3GPP </w:t>
      </w:r>
      <w:hyperlink r:id="rId13" w:history="1">
        <w:r w:rsidRPr="00213C85">
          <w:rPr>
            <w:rStyle w:val="Hyperlink"/>
            <w:lang w:val="en-GB"/>
          </w:rPr>
          <w:t>TR 37.911</w:t>
        </w:r>
      </w:hyperlink>
      <w:r>
        <w:rPr>
          <w:lang w:val="en-GB"/>
        </w:rPr>
        <w:t>, “</w:t>
      </w:r>
      <w:r w:rsidRPr="00213C85">
        <w:t>Study on self-evaluation towards the IMT-2020 submission of the 3GPP Satellite Radio Interface Technology</w:t>
      </w:r>
      <w:r>
        <w:rPr>
          <w:lang w:val="en-US"/>
        </w:rPr>
        <w:t>”.</w:t>
      </w:r>
    </w:p>
    <w:p w14:paraId="608955BA" w14:textId="77777777" w:rsidR="00872CD1" w:rsidRDefault="00872CD1" w:rsidP="00872CD1">
      <w:pPr>
        <w:numPr>
          <w:ilvl w:val="0"/>
          <w:numId w:val="12"/>
        </w:numPr>
        <w:rPr>
          <w:lang w:val="en-GB"/>
        </w:rPr>
      </w:pPr>
      <w:r>
        <w:rPr>
          <w:lang w:val="en-GB"/>
        </w:rPr>
        <w:t xml:space="preserve">ITU-R Report </w:t>
      </w:r>
      <w:hyperlink r:id="rId14" w:history="1">
        <w:r w:rsidRPr="00A915F4">
          <w:rPr>
            <w:rStyle w:val="Hyperlink"/>
            <w:lang w:val="en-GB"/>
          </w:rPr>
          <w:t>M.2543-0 (11/2024)</w:t>
        </w:r>
      </w:hyperlink>
      <w:r>
        <w:rPr>
          <w:lang w:val="en-GB"/>
        </w:rPr>
        <w:t>, “</w:t>
      </w:r>
      <w:r w:rsidRPr="00A915F4">
        <w:rPr>
          <w:lang w:val="en-GB"/>
        </w:rPr>
        <w:t>Outcome of the evaluation, consensus building and decision of the IMT-2020 satellite process (Steps 4 to 7), including characteristics of IMT-2020 satellite radio interfaces</w:t>
      </w:r>
      <w:r>
        <w:rPr>
          <w:lang w:val="en-GB"/>
        </w:rPr>
        <w:t>”.</w:t>
      </w:r>
    </w:p>
    <w:p w14:paraId="3CC991E0" w14:textId="0614615D" w:rsidR="00CC6B95" w:rsidRDefault="005D68E8" w:rsidP="005D68E8">
      <w:pPr>
        <w:numPr>
          <w:ilvl w:val="0"/>
          <w:numId w:val="12"/>
        </w:numPr>
        <w:rPr>
          <w:lang w:val="en-US"/>
        </w:rPr>
      </w:pPr>
      <w:r w:rsidRPr="00CC6B95">
        <w:rPr>
          <w:lang w:val="en-US"/>
        </w:rPr>
        <w:t xml:space="preserve">ITU-R Report </w:t>
      </w:r>
      <w:hyperlink r:id="rId15" w:history="1">
        <w:r w:rsidRPr="00CC6B95">
          <w:rPr>
            <w:rStyle w:val="Hyperlink"/>
            <w:lang w:val="en-US"/>
          </w:rPr>
          <w:t>M.2514</w:t>
        </w:r>
        <w:r w:rsidR="000B66BD" w:rsidRPr="00CC6B95">
          <w:rPr>
            <w:rStyle w:val="Hyperlink"/>
            <w:lang w:val="en-US"/>
          </w:rPr>
          <w:t>-0 (09/2022)</w:t>
        </w:r>
      </w:hyperlink>
      <w:r w:rsidR="000B66BD" w:rsidRPr="00CC6B95">
        <w:rPr>
          <w:lang w:val="en-US"/>
        </w:rPr>
        <w:t xml:space="preserve">, </w:t>
      </w:r>
      <w:r w:rsidR="00CC6B95">
        <w:rPr>
          <w:lang w:val="en-US"/>
        </w:rPr>
        <w:t>“</w:t>
      </w:r>
      <w:r w:rsidR="000B66BD" w:rsidRPr="00CC6B95">
        <w:rPr>
          <w:lang w:val="en-US"/>
        </w:rPr>
        <w:t>Vision, requirements and evaluation guidelines for satellite radio interface(s) of IMT-2020</w:t>
      </w:r>
      <w:r w:rsidR="00CC6B95">
        <w:rPr>
          <w:lang w:val="en-US"/>
        </w:rPr>
        <w:t>”.</w:t>
      </w:r>
      <w:r w:rsidR="000B66BD" w:rsidRPr="00CC6B95">
        <w:rPr>
          <w:lang w:val="en-US"/>
        </w:rPr>
        <w:t xml:space="preserve"> </w:t>
      </w:r>
    </w:p>
    <w:p w14:paraId="370F0AF8" w14:textId="77777777" w:rsidR="0091359B" w:rsidRDefault="0091359B" w:rsidP="00B67DCD">
      <w:pPr>
        <w:rPr>
          <w:lang w:val="en-US"/>
        </w:rPr>
      </w:pPr>
    </w:p>
    <w:sectPr w:rsidR="009135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6F27DD"/>
    <w:multiLevelType w:val="hybridMultilevel"/>
    <w:tmpl w:val="A04C212E"/>
    <w:lvl w:ilvl="0" w:tplc="03BCB8D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61A96"/>
    <w:multiLevelType w:val="hybridMultilevel"/>
    <w:tmpl w:val="C4186066"/>
    <w:lvl w:ilvl="0" w:tplc="03BCB8D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6"/>
  </w:num>
  <w:num w:numId="2" w16cid:durableId="1174219751">
    <w:abstractNumId w:val="5"/>
  </w:num>
  <w:num w:numId="3" w16cid:durableId="216472925">
    <w:abstractNumId w:val="0"/>
  </w:num>
  <w:num w:numId="4" w16cid:durableId="1891842015">
    <w:abstractNumId w:val="10"/>
  </w:num>
  <w:num w:numId="5" w16cid:durableId="267470053">
    <w:abstractNumId w:val="9"/>
  </w:num>
  <w:num w:numId="6" w16cid:durableId="514197527">
    <w:abstractNumId w:val="4"/>
  </w:num>
  <w:num w:numId="7" w16cid:durableId="542641728">
    <w:abstractNumId w:val="13"/>
  </w:num>
  <w:num w:numId="8" w16cid:durableId="1871213951">
    <w:abstractNumId w:val="7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12"/>
  </w:num>
  <w:num w:numId="12" w16cid:durableId="14700366">
    <w:abstractNumId w:val="8"/>
  </w:num>
  <w:num w:numId="13" w16cid:durableId="1951819639">
    <w:abstractNumId w:val="11"/>
  </w:num>
  <w:num w:numId="14" w16cid:durableId="1350715824">
    <w:abstractNumId w:val="3"/>
  </w:num>
  <w:num w:numId="15" w16cid:durableId="203472408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1EF4"/>
    <w:rsid w:val="000138EE"/>
    <w:rsid w:val="00021AAE"/>
    <w:rsid w:val="00022F28"/>
    <w:rsid w:val="00032215"/>
    <w:rsid w:val="0007754E"/>
    <w:rsid w:val="00091BDC"/>
    <w:rsid w:val="00094CA7"/>
    <w:rsid w:val="0009512C"/>
    <w:rsid w:val="000A5CDA"/>
    <w:rsid w:val="000A7963"/>
    <w:rsid w:val="000B4749"/>
    <w:rsid w:val="000B4F22"/>
    <w:rsid w:val="000B66BD"/>
    <w:rsid w:val="000C02D0"/>
    <w:rsid w:val="000C1057"/>
    <w:rsid w:val="000D070E"/>
    <w:rsid w:val="000E7BB7"/>
    <w:rsid w:val="001105D8"/>
    <w:rsid w:val="001274B5"/>
    <w:rsid w:val="0015231B"/>
    <w:rsid w:val="001565E0"/>
    <w:rsid w:val="001630B6"/>
    <w:rsid w:val="00167118"/>
    <w:rsid w:val="001746E5"/>
    <w:rsid w:val="00177DDA"/>
    <w:rsid w:val="001903EF"/>
    <w:rsid w:val="001940B9"/>
    <w:rsid w:val="001A336E"/>
    <w:rsid w:val="001A5BAF"/>
    <w:rsid w:val="001B0A0A"/>
    <w:rsid w:val="001C4D7A"/>
    <w:rsid w:val="001D3537"/>
    <w:rsid w:val="00201308"/>
    <w:rsid w:val="00213DA3"/>
    <w:rsid w:val="002159CA"/>
    <w:rsid w:val="00217D4B"/>
    <w:rsid w:val="00223CF4"/>
    <w:rsid w:val="002307FC"/>
    <w:rsid w:val="002317A5"/>
    <w:rsid w:val="002340D9"/>
    <w:rsid w:val="00241F95"/>
    <w:rsid w:val="0024577F"/>
    <w:rsid w:val="00260DCC"/>
    <w:rsid w:val="002670AA"/>
    <w:rsid w:val="00271DA1"/>
    <w:rsid w:val="00274843"/>
    <w:rsid w:val="00281ADA"/>
    <w:rsid w:val="00283DEC"/>
    <w:rsid w:val="002952C1"/>
    <w:rsid w:val="002A1F3D"/>
    <w:rsid w:val="002A4687"/>
    <w:rsid w:val="002A5BA5"/>
    <w:rsid w:val="002B62DB"/>
    <w:rsid w:val="002E6D49"/>
    <w:rsid w:val="002E6EB2"/>
    <w:rsid w:val="002F7084"/>
    <w:rsid w:val="00311237"/>
    <w:rsid w:val="00312160"/>
    <w:rsid w:val="00312D31"/>
    <w:rsid w:val="00316280"/>
    <w:rsid w:val="00317956"/>
    <w:rsid w:val="00326D7D"/>
    <w:rsid w:val="00333D9A"/>
    <w:rsid w:val="00350D4E"/>
    <w:rsid w:val="00355E91"/>
    <w:rsid w:val="00362A1B"/>
    <w:rsid w:val="00394B3F"/>
    <w:rsid w:val="003A69F8"/>
    <w:rsid w:val="003B62E6"/>
    <w:rsid w:val="003B6FC1"/>
    <w:rsid w:val="003C77CA"/>
    <w:rsid w:val="003D48DA"/>
    <w:rsid w:val="003D64DF"/>
    <w:rsid w:val="003E2250"/>
    <w:rsid w:val="004072A4"/>
    <w:rsid w:val="004074A3"/>
    <w:rsid w:val="00413E17"/>
    <w:rsid w:val="004327E8"/>
    <w:rsid w:val="00444213"/>
    <w:rsid w:val="00452E6C"/>
    <w:rsid w:val="00490092"/>
    <w:rsid w:val="00493F91"/>
    <w:rsid w:val="004A2450"/>
    <w:rsid w:val="004D30DE"/>
    <w:rsid w:val="004D7F21"/>
    <w:rsid w:val="004E0C79"/>
    <w:rsid w:val="004F7792"/>
    <w:rsid w:val="00507906"/>
    <w:rsid w:val="00514A69"/>
    <w:rsid w:val="00521D82"/>
    <w:rsid w:val="00531B9A"/>
    <w:rsid w:val="00534CB9"/>
    <w:rsid w:val="0053632D"/>
    <w:rsid w:val="00542866"/>
    <w:rsid w:val="00552B5C"/>
    <w:rsid w:val="0055378A"/>
    <w:rsid w:val="005649DD"/>
    <w:rsid w:val="00590209"/>
    <w:rsid w:val="005A7E16"/>
    <w:rsid w:val="005B19A0"/>
    <w:rsid w:val="005C7935"/>
    <w:rsid w:val="005D68E8"/>
    <w:rsid w:val="005F2B32"/>
    <w:rsid w:val="00613668"/>
    <w:rsid w:val="00613D69"/>
    <w:rsid w:val="0062537B"/>
    <w:rsid w:val="00635F37"/>
    <w:rsid w:val="00642446"/>
    <w:rsid w:val="00657491"/>
    <w:rsid w:val="00665885"/>
    <w:rsid w:val="006800D8"/>
    <w:rsid w:val="0068601B"/>
    <w:rsid w:val="0069414B"/>
    <w:rsid w:val="006D7D02"/>
    <w:rsid w:val="006E0622"/>
    <w:rsid w:val="006F0FFF"/>
    <w:rsid w:val="00701D77"/>
    <w:rsid w:val="00706DB6"/>
    <w:rsid w:val="00723DB9"/>
    <w:rsid w:val="007400CF"/>
    <w:rsid w:val="007527A9"/>
    <w:rsid w:val="007624C6"/>
    <w:rsid w:val="007813E2"/>
    <w:rsid w:val="00781CA5"/>
    <w:rsid w:val="00783E47"/>
    <w:rsid w:val="00797164"/>
    <w:rsid w:val="00797D88"/>
    <w:rsid w:val="007A1567"/>
    <w:rsid w:val="007A2C90"/>
    <w:rsid w:val="007A6BC3"/>
    <w:rsid w:val="007A7738"/>
    <w:rsid w:val="007B464F"/>
    <w:rsid w:val="007B53E2"/>
    <w:rsid w:val="007B5665"/>
    <w:rsid w:val="007B5845"/>
    <w:rsid w:val="007C4944"/>
    <w:rsid w:val="007D16E6"/>
    <w:rsid w:val="007D2B06"/>
    <w:rsid w:val="007E5394"/>
    <w:rsid w:val="007F589A"/>
    <w:rsid w:val="008029C6"/>
    <w:rsid w:val="008057A0"/>
    <w:rsid w:val="0081248C"/>
    <w:rsid w:val="00852BE6"/>
    <w:rsid w:val="00861A1A"/>
    <w:rsid w:val="00865FE3"/>
    <w:rsid w:val="00872CD1"/>
    <w:rsid w:val="008817F9"/>
    <w:rsid w:val="00892A4F"/>
    <w:rsid w:val="008C53E0"/>
    <w:rsid w:val="008D3809"/>
    <w:rsid w:val="008D520A"/>
    <w:rsid w:val="008E59B7"/>
    <w:rsid w:val="008E7F33"/>
    <w:rsid w:val="0091359B"/>
    <w:rsid w:val="009344EB"/>
    <w:rsid w:val="00934526"/>
    <w:rsid w:val="00934C7C"/>
    <w:rsid w:val="00966A8D"/>
    <w:rsid w:val="009833C1"/>
    <w:rsid w:val="009837A2"/>
    <w:rsid w:val="0099680D"/>
    <w:rsid w:val="009A1A3C"/>
    <w:rsid w:val="009A66DF"/>
    <w:rsid w:val="009B2468"/>
    <w:rsid w:val="009C0D55"/>
    <w:rsid w:val="009D7BAE"/>
    <w:rsid w:val="009E7F0A"/>
    <w:rsid w:val="00A00C94"/>
    <w:rsid w:val="00A06674"/>
    <w:rsid w:val="00A31C9D"/>
    <w:rsid w:val="00A321CC"/>
    <w:rsid w:val="00A35F66"/>
    <w:rsid w:val="00A3631B"/>
    <w:rsid w:val="00A4212E"/>
    <w:rsid w:val="00A4454D"/>
    <w:rsid w:val="00A605D7"/>
    <w:rsid w:val="00A7124A"/>
    <w:rsid w:val="00A740B5"/>
    <w:rsid w:val="00A7646D"/>
    <w:rsid w:val="00A80532"/>
    <w:rsid w:val="00A907EB"/>
    <w:rsid w:val="00A91AFD"/>
    <w:rsid w:val="00A94E15"/>
    <w:rsid w:val="00A966B2"/>
    <w:rsid w:val="00A96BE8"/>
    <w:rsid w:val="00AA5154"/>
    <w:rsid w:val="00AC134E"/>
    <w:rsid w:val="00AC3262"/>
    <w:rsid w:val="00AC4974"/>
    <w:rsid w:val="00AD31AF"/>
    <w:rsid w:val="00AD3C7A"/>
    <w:rsid w:val="00AF5A03"/>
    <w:rsid w:val="00B05D09"/>
    <w:rsid w:val="00B1265C"/>
    <w:rsid w:val="00B16E27"/>
    <w:rsid w:val="00B34A67"/>
    <w:rsid w:val="00B67DCD"/>
    <w:rsid w:val="00B74995"/>
    <w:rsid w:val="00B84FFD"/>
    <w:rsid w:val="00B878E6"/>
    <w:rsid w:val="00B94602"/>
    <w:rsid w:val="00BA1E98"/>
    <w:rsid w:val="00BA6F8E"/>
    <w:rsid w:val="00BB12D1"/>
    <w:rsid w:val="00BB7ECA"/>
    <w:rsid w:val="00BD67BA"/>
    <w:rsid w:val="00C03CD2"/>
    <w:rsid w:val="00C07370"/>
    <w:rsid w:val="00C32B36"/>
    <w:rsid w:val="00C53228"/>
    <w:rsid w:val="00C57FA8"/>
    <w:rsid w:val="00C6059B"/>
    <w:rsid w:val="00C60783"/>
    <w:rsid w:val="00C631FE"/>
    <w:rsid w:val="00C72CD8"/>
    <w:rsid w:val="00C74F68"/>
    <w:rsid w:val="00C87435"/>
    <w:rsid w:val="00C9521B"/>
    <w:rsid w:val="00CB589B"/>
    <w:rsid w:val="00CB7C15"/>
    <w:rsid w:val="00CC08AF"/>
    <w:rsid w:val="00CC6B95"/>
    <w:rsid w:val="00CE5E66"/>
    <w:rsid w:val="00CF0500"/>
    <w:rsid w:val="00D04991"/>
    <w:rsid w:val="00D503C0"/>
    <w:rsid w:val="00D51185"/>
    <w:rsid w:val="00D53E9A"/>
    <w:rsid w:val="00D57FCA"/>
    <w:rsid w:val="00D6653E"/>
    <w:rsid w:val="00D74AB6"/>
    <w:rsid w:val="00D80FE4"/>
    <w:rsid w:val="00D81349"/>
    <w:rsid w:val="00D816A8"/>
    <w:rsid w:val="00D95B43"/>
    <w:rsid w:val="00DC38CB"/>
    <w:rsid w:val="00E00C67"/>
    <w:rsid w:val="00E21E22"/>
    <w:rsid w:val="00E416B7"/>
    <w:rsid w:val="00E42221"/>
    <w:rsid w:val="00E4473C"/>
    <w:rsid w:val="00E50E92"/>
    <w:rsid w:val="00E61A39"/>
    <w:rsid w:val="00E74F5B"/>
    <w:rsid w:val="00E869E4"/>
    <w:rsid w:val="00EA001C"/>
    <w:rsid w:val="00EB0B04"/>
    <w:rsid w:val="00EB15C0"/>
    <w:rsid w:val="00EB1A45"/>
    <w:rsid w:val="00EC709C"/>
    <w:rsid w:val="00EE06FB"/>
    <w:rsid w:val="00EF1DAC"/>
    <w:rsid w:val="00EF48B6"/>
    <w:rsid w:val="00F0564A"/>
    <w:rsid w:val="00F322C2"/>
    <w:rsid w:val="00F4403B"/>
    <w:rsid w:val="00F52F41"/>
    <w:rsid w:val="00F56E6D"/>
    <w:rsid w:val="00F60E0B"/>
    <w:rsid w:val="00F613DF"/>
    <w:rsid w:val="00F64FEB"/>
    <w:rsid w:val="00F90C6D"/>
    <w:rsid w:val="00F9495A"/>
    <w:rsid w:val="00F94A42"/>
    <w:rsid w:val="00FE184E"/>
    <w:rsid w:val="00FF0E04"/>
    <w:rsid w:val="00FF362A"/>
    <w:rsid w:val="00FF3E3C"/>
    <w:rsid w:val="046576F8"/>
    <w:rsid w:val="38469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6B1A4CB3-030C-40DF-AA57-247BB10B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rsid w:val="007624C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4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TSG_RAN/TSGR_106/Docs//RP-243327.zip" TargetMode="External"/><Relationship Id="rId13" Type="http://schemas.openxmlformats.org/officeDocument/2006/relationships/hyperlink" Target="https://www.3gpp.org/ftp/Specs/archive/37_series/37.911/37911-i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dms_ties/itu-r/md/23/wp4b/c/R23-WP4B-C-0139!N03!MSW-E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/recommendation.asp?lang=en&amp;parent=R-REC-M.2160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pub/R-REP-M.2514-2022" TargetMode="External"/><Relationship Id="rId10" Type="http://schemas.openxmlformats.org/officeDocument/2006/relationships/hyperlink" Target="https://www.itu.int/pub/R-REP-M.2514-2022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tu.int/rec/R-REC-M/recommendation.asp?lang=en&amp;parent=R-REC-M.2160" TargetMode="External"/><Relationship Id="rId14" Type="http://schemas.openxmlformats.org/officeDocument/2006/relationships/hyperlink" Target="https://www.itu.int/pub/R-REP-M.2543-202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4</Pages>
  <Words>1351</Words>
  <Characters>7706</Characters>
  <Application>Microsoft Office Word</Application>
  <DocSecurity>0</DocSecurity>
  <Lines>64</Lines>
  <Paragraphs>18</Paragraphs>
  <ScaleCrop>false</ScaleCrop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26</cp:revision>
  <dcterms:created xsi:type="dcterms:W3CDTF">2025-07-04T17:38:00Z</dcterms:created>
  <dcterms:modified xsi:type="dcterms:W3CDTF">2025-09-03T08:39:00Z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